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Утверждена постановлением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областного Собрания депутатов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15 декабря 2010 г. № 707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законопроектной и нормотворческой работы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пятого созыва на 2011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26"/>
        <w:gridCol w:w="3331"/>
        <w:gridCol w:w="2176"/>
        <w:gridCol w:w="1786"/>
        <w:gridCol w:w="173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проекта областного закона, проекта постановления Архангельского 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Субъект 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 за прохождение проекта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областного закона, проекта постановления Архангельского 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Сроки внесения на рассмот­рение областным Собранием депутатов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иммунопрофилактике (вакцинопрофилактике) инфекционных болезней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Архангельского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С.Д. Эммануилов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мировых судьях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Архангельский областной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предоставлении из областного бюджета субсидий бюджетам муниципальных районов Архангельской области на софинансирование расходов по созданию условий для обеспечения поселений у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слугами торговли»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 Архангельского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О.Н. Епифанова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 и рыбохозяйственному комплексу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 образованием «Междуреченское» Арх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ангель­ской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собствен­ности между муниципальным образованием «Пинежский муниципальный район» Архан­гельской области и муниципальным образованием «Карпогорское» Арх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 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дополнений в областной закон «О разграниче­нии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«Кушкопальское»,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«Лавельское», «Пинежское», «Сосновское», «Шилегское»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 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«Приморский муниципальный район» Архангельской области и муниципальными образованиями «Вознесенское», «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Заостровское», «Зимне-Золотицкое», «Катунинское», «Коскогорское», «Ластольское», «Летне-Золотицкое», «Лисестровское», «Лопшеньгское», «Лявленское», «Патракеевское», «Пертоминское», «Повракульское», «Приморское», «Пустошинское», «Талажское» Архангельской об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«Приморский муниципальный район» Архангельской области и муниципальным образованием «Уемское» Архангель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«Градостроительный кодекс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особо ценных продуктивных сельскохозяйственных угодьях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 Архангельского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Н.И. Павловская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 и рыбохозяйственному комплексу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утверждении отчета о выполнении прогнозного плана приватизации государственного имущества Архангельской области за 2010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предприниматель­ству и инвестициям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бюджета Архангельского областного фонда обязательного медицинского страхования за 2010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областного бюджета за 2010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«Веркольское», «Ке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врольское», «Нюхченское», «Пиринемское», «Покшеньгское», «Сийское», «Сурское», «Труфаногорское»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 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 (законопроект направлен на приведение отдельных областных законов в соответствие с федеральным законодательством и устранение выявленных типичных коррупциогенных факт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оров)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отдельных мерах по защите нравственности и здоровья детей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Архангельского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А.В. Новиков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профессиональной ориентации молодежи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молодежной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политике и спорту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в областной закон «О бюджетном процессе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Архангельского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А.В. Бральнин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утверждении прогнозного плана приватизации государственного имущества Архангельской области на 2012 год и основных направлений приватизации государственного имущества Архангельской области на плановый период 2012 – 2014 годов»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обороте земель сельскохозяйственного назначения, расположенных на территории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 и рыбохозяйственному комплексу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Архангельского областного фонда обязательного медицинского страхования за первое полугодие 2011 года»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социальным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первое полугодие 2011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регулировании отношений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кой Федерации на территории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культуре и туризму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молодежи и молодежной политике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молодежной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политике и спорту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 в сфере образования»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социальной поддержке детей-сирот, детей, оставшихся без попечения родителей, обучающихся в областных государственных образовательных учреждениях, а также находящихся под опеко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й (попечительством) и в приемных семьях»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изменения в статью 5 областного закона «О прожиточном минимуме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государственном надзоре в сфере благоустройства на территории Архангельской области» (законопроектом определяются (закрепляются) основные принципы осуществления государственного надзора в сфере благоустройства, объекты, подлежащ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ие государственному надзору, органы и должностные лица, осуществляющие государственный надзор в сфере благоустройства, полномочия должностных лиц уполномоченного органа, осуществляющих государственный надзор)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Архангельского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О.Н. Епифанова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жилищно-коммунальному хозяйству и энергетике;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экологии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мировых судьях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статусе и границах территорий муниципальных образований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описании границ территорий муниципального образования «Приморский муниципальный район» и вновь образованных в его составе муниципальных образований»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област­ного Собрания депутатов «Об отчете об исполнении бюджета Архангельского областного фонда обязательного медицинского страхования за девять месяцев 2011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девять месяцев 2011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бюджете Архангельского областного фонда обязательного медицинского страхования на 2012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областном бюджете на 2012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правонарушениях»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3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 (законопроект направлен на приведение отдельных областных законов в соответствие с федеральным законодательством и устранение выявленных типичных коррупциогенных факт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оров)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 квартал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2024-11-29T08:28:26Z</dcterms:modified>
</cp:coreProperties>
</file>