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9 декабря 2009 г. № 351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законопроектной и нормотворческой работы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пятого созыва на 2010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12"/>
        <w:gridCol w:w="4014"/>
        <w:gridCol w:w="1312"/>
        <w:gridCol w:w="1680"/>
        <w:gridCol w:w="164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 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Наименование проекта нормативного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Комитет, рабочая группа,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ответ­ственные за прохождение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нормативного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Сроки внесения на рассмот­рение областным 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I. Государственное строительство и местное самоуправление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полномочиях органов государственной власти Архангельской области по взаимодействию с ассоциацией «Совет муниципальных образований Архан-гельской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разграничении объектов муниципальной      собственности между муниципальным образованием «При-морский муниципальный     район» Архангельской области и муниципаль-ными образова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ниями «Вознесенское», «Заостровское», «Зимне-Золотицкое», «Катунинское», «Коскогорское», «Лас-тольское», «Летне-Золотицкое», «Ли-сестровское», «Лопшеньгское», «Ляв-ленское», «Патракеевское», «Перто-минское», «Повракульское», «Примор-ское», «Пустошинское», 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«Талажское»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Ю.И. Сердюк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гарантиях осуществления полномочий депутатов пред-ставительных органов муниципальных образо­ваний, членов иных выборных органов местного самоуправления, выборных долж-ностных лиц местного 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самоуправления муниципальных образований Архан-гельской области» (в части уточнения в соответствии с Трудовым кодексом Российской Федерации и Налоговым кодексом Российской Федерации понятий «вознаграждение» и «компен-сация», а также порядка их выплаты выбо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рным лицам, осуществляющим свои полномочия на непостоянной основе)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Совет депутатов Северодвинска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 правовом регулировании муниципаль-ной службы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Совет депутатов Северодвинска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гарантиях осуществления полномочий депутатов представитель­ных органов муниципальных образо­ваний, членов иных выборных органов местного самоуправления, выборных долж-ностных лиц местного 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самоуправления муниципальных образований Архан-гельской области» (в части дополнения нормой, которая распространит действие Трудового кодекса Российской Федерации полностью или частично на выборных лиц местного само-управления, осуществляющих свои полномоч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ия на постоянной основе, а также в части дополнения гарантией, касающейся включения в стаж муниципальной службы  депутатов, ра-ботающих на непостоянной основе, времени осуществления ими своих полномочий в зависимости от времени непосредственной работы в пр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ед-ставительном органе местного само-управления)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Совет депутатов Северодвинска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дополнения в областной закон «О разграни­чении объектов муниципаль­ной собственности между Каргопольс-ким муниципаль­ным районом Архангельской области и городским поселе­нием «Каргопольское», сель­скими поселениями «Оше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венское», «Павловское», «Печниковское», «При-озерное», «Ухотское»  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«Каргопольский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И.А. Трусов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разграничении объектов муниципальной собственности между Красноборским муниципальным районом Архангельской области и муниципальными образованиями – сельскими поселениями «Алек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се-евское», «Белослудское», «Верхнеуф-тюгское», «Куликовское», «Пермогорс-кое», «Телеговское»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«Красноборский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О.Л. Смирнова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организации и ведении регистра муниципальных нормативных правовых актов муниципальных образований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изменения в статью 3 областного закона  О гарантиях осуществления полномочий  депутатов представи-тельных органов   муниципальных образований, членов иных выборных органов местного самоуправления, выборных должностных л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иц местного самоуправления муниципальных обра-зований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«Вельский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Смелов,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«Вельский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изменения и дополнения в статью 5 областного закона «О гарантиях осуществ-ления полномочий депутатов представительных органов муници-пальных образований, членов иных выборных органов местного само-управления, выборных д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олжностных лиц местного самоуправления муници-пальных образований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«Вельский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Смелов,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«Вельский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разграничении объектов муниципальной собственности между муниципальным образованием «Вельс-кий муниципальный район» Архан-гельской области и муниципальными образованиями «Куло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йское», «Аргуновс-кое», «Благовещенское», «Верхнеусть-кулойское», «Верхнешоношское», «Ли-повское», «Низовское», «Пакшеньгс-кое», «Пежемское», «Попонаволоц-кое», «Пуйское», «Ракуло-Кокшеньгс-кое», «Судромское», «Тегринское», «Усть-Шоношское», «Хозьминское»,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 «Шадреньгское», «Шоношское» Архан-гельской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«Вельский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Смелов,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«Вельский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разграничении объектов муниципальной собственности между муниципальным образованием «Вельс-кий муниципальный    район» Архан-гельской области и муници-пальными образованиями «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Вельское», «Солгинс-кое», «Усть-Вельское»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«Вельский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Смелов,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Собрание депутатов муниципального образования «Вельский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гарантиях осуществления полномочий депутатов представи­тель­ных органов муниципальных образо­ваний, членов иных выборных органов местного самоуправления, выборных дол-жностных лиц местного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 самоуправ­ления муниципальных образований Архан-гельской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Совет депутатов Северодвинска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Избирательная комиссия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Избирательная комиссия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статусе и границах территорий муниципальных образований в Архан-гельской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дополнения в областной закон «О разграни­чении объектов муниципаль­ной собственности между Карго-польским муниципаль­ным районом Архангельской области и городским поселе­нием «Каргопольское», сельскими поселениями «Ошев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енское», «Павловское», «Печниковское», «При-озерное», «Ухотское»         Архангельс-кой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Глава муниципального образования «Каргопольский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И.А. Трусов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государственному устройству, местному самоуправлению и межрегиональному сотрудничеству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II. Бюджетная, финансовая, налоговая и экономическая политика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реализации органами государственной власти Архангельской области государственных полномочий в сфере охоты и сохранения охотничьих ресурсов»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аграрной политике и рыбохозяйственному комплексу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отдельные областные законы в части их приведения в соответствие с законодательством Российской Федерации в сфере охоты и сохранения охотничьих ресурсов»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Комитеты: по аграрной политике и рыбохозяйственному комплексу; по природопользованию и экологии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статью 4 областного закона  «О транспортном налоге»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Совет депутатов Северодвинска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особо ценных продуктивных сельскохозяйст-венных угодьях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Н.И. Павловская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аграрной политике и рыбохозяйственному комплексу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реализации органами государственной власти Архангельской области государственных полномочий в сфере лесных отношений»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промышленности и экономическому развитию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исполнении бюджета Архангельского областного фонда обязательного медицинского страхования за 2009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Комитеты: по бюджету и налогам; по здравоохранению и 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утверждении отчета о выполнении прогнозного плана приватизации государственного имущества Архан-гельской области за 2009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инвестициям, собственности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предоставлении недр и пользовании недрами на территории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природопользованию и экологии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исполнении областного бюджета за 2009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статью 2 областного закона «О введении в действие на территории Архангельской области налога на имущество организаций в соответствии с частью 2 Налогового кодекса РФ и внесении изменений в некоторые законод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ательные акты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В.С. Никитин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дополнений в областной закон «Об охране окружающей среды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В.С. Никитин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природопользованию и экологии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бюджетном процессе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Бральнин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Архангельского областного фонда обязательного медицинского страхо-вания за первое полугодие 2010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Комитеты: по бюджету и налогам; по здравоохранению и 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утверждении прогнозного плана приватизации государственного иму-щества Архангельской области на 2011 год и основных направлений прива-тизации государственного имущества Архангельской области на 2011 – 2013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инвестициям, собственности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первое полугодие 2010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 реализации полномочий Архангельской области в сфере регулирования межбюджетных отношений»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Бральнин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«Градостроительный кодекс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строительству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порядке обслуживания перевозчиками автобусных маршрутов общего пользования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промышленности и экономическому развитию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бюджете Архангельского областного фонда обязательного медицинского страхо-вания на 2011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Комитеты: по бюджету и налогам; по здравоохранению и 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област-ном бюджете на 2011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бюджета Архангельского областного фонда обязательного медицинского страхова-ния за девять месяцев 2010 года»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Комитеты: по бюджету и налогам; по здравоохранению и социальным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девять месяцев 2010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Правительство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бюджету и налогам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III. Социальная политика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 в сфере образо-вания»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 и высшей школе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осуществлении органами государствен-ной власти Архангельской области на территории Ненецкого автономного округа отдельных госу-дарственных полномочий органов государственной </w:t>
            </w: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власти субъекта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 и высшей школе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прожиточном минимуме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 и 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потребительской корзине в Архан-гельской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 и 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«Об иммуно-профилактике (вакцинопрофилактике) инфекционных болезней в Архан-гельской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С.Д. Эммануилов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здравоохранению и социальным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  «Об отдельных мерах по защите нравственности и здоровья детей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Новиков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образованию и высшей школе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4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6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IV. Законодательство и судебно-правовая реформа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взаимодействии органов государст-венной власти Архангельской области и общественных объединений»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право-нарушениях»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в областной закон «Об участии граждан Российской Федерации в охране общественного порядка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Новиков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мировых судьях в Архан-гельской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 «О противодействии коррупции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А.В. Новиков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Устав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С.А. Вторый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областной закон «О порядке разработки, принятия и вступления в силу законов Архан-гельской области»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         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С.А. Вторый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постановления Архангельского областного Собрания депутатов «О внесении изменений и дополнений в регламент Архангельского областного Собрания депутатов»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С.А. Вторый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вопросам этики и регламента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40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Проект областного закона «О внесении изменений и дополнений в отдельные областные законы в связи с совер-шенствованием системы исполни-тельных органов государственной власти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3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Губернатор Архангельской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И.Ф. Михальчук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Комитет по законодательству и судебно-правовым вопросам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2024-11-29T08:27:36Z</dcterms:modified>
</cp:coreProperties>
</file>