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Приложение к решению ПАСЗР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от 7 февраля 2013 года № 27/8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ПРИМЕРНЫЙ ПЛАН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работы Парламентской Ассоциации Северо-Запада России и её органов на 2013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(утвержденный решением Президиума ПАСЗР от 7 февраля 2013 года №27 /8)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Раздел I. Вопросы, подлежащие рассмотрению</w:t>
        <w:br/>
        <w:t xml:space="preserve">на Конференциях Парламентской Ассоциации Северо-Запада России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9"/>
        <w:gridCol w:w="7775"/>
        <w:gridCol w:w="2155"/>
        <w:gridCol w:w="2160"/>
        <w:gridCol w:w="156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Название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Инициатор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внесения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Ответственный за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подготовку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рассмотрения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 Вопросы финансово-экономического характера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«Об оленеводстве»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Ненецкого автономного округа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Ненецкого автономного округа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№ 168754-6 «О внесении изменений в отдельные законодательные акты Российской Федерации», внесенном Законодательным Собранием Новосибирской области (в части определения порядка распределения общедомовых расходов в многоквартирн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ых домах)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регулирования строительства и содержания объектов социальной инфраструктуры при строительстве многоквартирных домов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проблеме тарифов на пригородные перевозки пассажирским железнодорожным транспортом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организации и осуществления внутрирегиональных авиаперевозок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регулировании вопросов софинансирования переселения граждан из аварийного жилищного фонда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формирования и исполнения бюджетов субъектов Российской Федерации в современных условиях (в том числевопросы выпадения консолидированной группы налогоплательщиков из налогооблагаемой базы ряда субъектов Российской Федерации в связи с новеллами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бюджетного законодательства).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Республики Карелия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Республики Карелия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Федеральном законе от 30.11.2010 №327-ФЗ «О передаче религиозным организациям имущества религиозного назначения, находящегося в государственной или муниципальной собственности» (регулирование сферы данного Закона в части объектов культурного наследия);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создании Ассоциации туристических информационных центров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 Вопросы правового характера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актуальных вопросах совершенствования мер защиты населенных пунктов, готовности систем оповещения и мер, направленных на предупреждение чрезвычайных ситуаций природного и техногенного характера на территории Северо-Западного региона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правового регулирования отношений по обращению с безнадзорными животными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Внесение изменений в Федеральный закон от 12.01.96 №8-ФЗ «О погребении и похоронном деле»; принятие Федерального закона «О поисковой работе в Российской Федерации, проводимой в целях увековечения памяти погибших при защите Отечества, и поисковых организаци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ях» (в целях установление правового режима защиты мест боевых действий, мест массовых захоронений, связанных с массовыми репрессиями, мест исторических захоронений);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№ 933666-6 «О внесении изменений в статью 24 Федерального закона «О воинской обязанности и военной службе», внесенном Законодательным Собранием 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законодательной инициативе Государственного Совета Республики Коми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 правовом положении иностранных гражд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ан в Российской Федерации»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передаче с 1 января 2013 года полномочий составления протоколов об административных правонарушениях муниципальным образованиям.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 Вопросы социальной политики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«О внесении изменений в Федеральный закон «Об основах охраны здоровья граждан в Российской Федерации» в части передачи финансирования лекарственных препаратов для лечения орфанных заболеваний из обязанности субъектов РФ к полн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омочиям РФ путем предоставления субвенций из федерального бюджета.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«О внесении изменений в Федеральный закон «О государственных пособиях гражданам, имеющим детей» в части увеличения продолжительности выплаты ежемесячного пособия по уходу за ребенком до достижения им трех лет.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«Об обращении с домашними животными и внесении изменений в отдельные законодательные акты Российской Федерации»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«О внесении изменения в Федеральный закон «О социальной защите инвалидов в Российской Федерации» (в части установления ежемесячной денежной выплаты для неработающих трудоспособных граждан, осуществляющих уход за детьми-инвалид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ами в возрасте до 18 лет)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«О внесении изменения в статью 48 Трудового кодекса Российской Федерации» (в части определения порядка присоединения организаций – участников трехсторонних соглашений на федеральном уровне к региональным соглашениям)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вопросах компенсации по оплате жилого помещения для инвалидов, являющихся собственниками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мерах, направленных на поиск и поддержку талантливых детей и молодежи в субъектах Северо-Западного федерального округа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поддержке проекта федерального закона № 37839-5»О внесении изменений в часть вторую статьи 1274 части четвертой Гражданского кодекса Российской Федерации» (в части условий получения информации инвалидам по зрению)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Проблемы кадрового обеспечения муниципального здравоохранения. Пути решения.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Совершенствование системы оплаты труда работников здравоохранения в связи с переходом учреждений здравоохранения на одноканальное финансирование.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 Вопросы образования, науки и высшей школы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Перспективы развития начального и среднего профессионального образования в субъектах Российской Федерации, входящих в состав Северо-Западного Федерального округа.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Вологодское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Вологодское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состоянии образования в сельской местности в субъектах Российской Федерации, входящих в состав Северо-Западного Федерального округа. Проблемы и пути их решения.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Вологодское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Вологодское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Проблемы организации летнего отдыха, оздоровления и занятости детей, подростков и молодежи в субъектах Российской Федерации, входящих в состав Северо-Западного Федерального округа.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Вологодское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Вологодское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Развитие системы дополнительного образования детей в субъектах Российской Федерации, входящих в состав Северо-Западного Федерального округа.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Вологодское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Вологодское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языках малочисленных народов Севера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Ненецкого АО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Ненецкого АО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обращении к Председателю Совета Федерации Федерального Собрания Российской Федерации В.И.Матвиенко, Председателю Государственной Думы Федерального Собрания Российской Федерации С.Е.Нарышкину о необходимости модернизации региональных систем дошкольного 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бразования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обращении к Председателю Совета Федерации Федерального Собрания Российской Федерации В.И. Матвиенко, Председателю Государственной Думы Федерального Собрания Российской Федерации С.Е. Нарышкину об отмене ограничения по расходованию субсидий из федерально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 бюджета бюджетам субъектов Российской Федерации на модернизацию региональных систем общего образования в части проведения капитального ремонта и реконструкции общеобразовательных учреждений в 2013 году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Вологодской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 Вопросы культурной политики и туризма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Внесение изменений в Федеральный закон от 26.05.1996 № 54-ФЗ «О музейном фонде Российской Федерации и музеях в Российской Федерации» (дополнить главой «Финансирование мероприятий по сохранению, учету, изучению и публикацию музейных предметов и коллекций»,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которой будет закреплен порядок выделения субвенций из федерального бюджета на финансирование мероприятий по сохранению, учету, изучению и публикации музейных предметов и коллекций,, находящихся в собственности Российской Федерации»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Развитие федеральной нормативной базы в сфере изучения и сохранения объектов археологического наследия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Внесение изменений в Федеральный закон от 13.03.1995 № 32-ФЗ «О днях воинской славы и памятных датах России (в части исправления ошибок, хронологической точности исчисления дат дней воинской славы, допущенными в связи с неправильностью исчисления соотношен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ия дат юлианского и григорианского календарей);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Внесение изменений в Федеральный закон от 24.11.1996 № 132-ФЗ «Об основах туристской деятельности в Российской Федерации» в части обеспечения дифференцированного подхода к размерам страхования ответственности и/или размеру банковской гарантии для туроперат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оров в сфере выездного и внутреннего туризма.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 основании анализа региональных расчетных нормативов и региональных систем оплаты труда работников учреждений культуры в регионах Северо- Запада РФ разработка Рекомендаций по соответствию этих расчетных нормативов и систем оплаты труда потребностям деяте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льности учреждений культуры.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 Вопросы местного самоуправления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Изменение бюджетного законодательства в части порядка зачисления штрафов за административные правонарушения, предусмотренные законами субъектов Российской Федерации, в местные бюджеты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практике реализации положений части 2 статьи 34 Федерального закона от 6 октября 2003 года № 131-ФЗ «Об общих принципах организации местного самоуправления в Российской Федерации»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Внесение изменений в Федеральный закон от 06.10.2003 №131-ФЗ «Об общих принципах организации местного самоуправления в Российской Федерации» (в части отнесения содержания муниципальных музеев к расходным обязательствам городских округов, муниципальных райо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нов, городских и сельских поселений)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 Вопросы природопользования и охраны окружающей среды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охране морей от нефтяных загрязнений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зеленых насаждениях общего пользования в пределах городской (поселковой) черты (парки, сады, скверы)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создании федерального и региональных экологических фондах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правового регулирования использования районов падения отделяющихся частей ракет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федерального закона «О внесении изменений в Федеральный закон «Об охоте и о сохранении охотничьих ресурсов и о внесении изменений в отдельные законодательные акты российской Федерации» (в части закрепления возможности отстрела медведей и бродячих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собак оленеводами)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состоянии дел с обращением с опасными ртутьсодержащими отходами и отходами светодиодных осветительных приборов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обеспечении экологической безопасности при реализации инвестиционных проектов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проблеме загрязнения водных объектов посредством сброса неочищенных стоков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Обращение с отходами производства и потребления, медицинскими и биологическими отходами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Экологическое воспитание и просвещение населения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законодательной инициативе «О внесении изменений и дополнений в Лесной кодекс РФ» (в части охраны городских лесов)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Санкт-Петербурга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поддержке проекта федерального закона № 46176-6 «О внесении изменений в Федеральный закон «О рыболовстве и сохранении водных биологических ресурсов» (в части устранения пробелов в правовом регулировании законодательства о рыболовстве и сохранении водных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биологических ресурсов)»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вопросах, связанных с необходимостью соблюдения интересов местного населения (граждан) при осуществлении заготовки древесины вблизи сельских населенных пунктов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проблемах сбора, переработки и утилизации твердых бытовых отходов в Северо-Западном регионе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Ленинградская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Ленинградская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регулировании вопроса по изъятию неиспользуемых земель сельскохозяйственного назначения, пути влияния на неэффективных собственников земельных участков (земельных паев)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Ленинградская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Ленинградская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Вопросы освоения и защиты Арктики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Ненецкого автономного округа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Ненецкого автономного округ,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необходимости принятия комплексных мер по совершенствованию законодательства, регулирующего отношения в сфере социальной защиты населения, проживающего на территориях, прилегающих к объектам атомной энергетики, о перепроектировании системы охлаждения эне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ргоблоков ЛАЭС-2 и о планируемом к строительству пункте захоронения радиоактивных отходов в промышленной зоне Сосновоборского городского округа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порядке установления начальной цены предмета аукциона по продаже права на заключение договора аренды лесного участка, находящегося в государственной или муниципальной собственности, и по продаже права на заключение договора купли-продажи лесных насаждени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8. Организационные вопросы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отчетах постоянных комитетов ПАСЗР о работе за 2012 год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Председатели постоянных комитетов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составах и председателях постоянных комитетов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Парламенты – члены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повестке дня XLIV КонференцииПАСЗР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внесении изменений в некоторые составы постоянных комитетов Парламентской Ассоциации Северо-Запада России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заместителе Председателя Парламентской Ассоциации Северо-Запада России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дате и месте проведения очередной XLV Конференции Парламентской Ассоциации Северо-Запада России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7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председателе Парламентской Ассоциации Северо-Запада России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2-е полугодие 2013 года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Раздел II. Вопросы, подлежащие рассмотрению</w:t>
        <w:br/>
        <w:t xml:space="preserve">на заседаниях Президиума Парламентской Ассоциации Северо-Запада России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77"/>
        <w:gridCol w:w="7259"/>
        <w:gridCol w:w="2263"/>
        <w:gridCol w:w="2745"/>
        <w:gridCol w:w="1925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Наименование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Инициатор внесения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Ответственный за подготовку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и место проведения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27-го заседания Президиума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Информация о реализации решений 26-го заседания Президиума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примерном плане работы Парламентской Ассоциации Северо-Запада России и ее органов на 2013 год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 очередного 28-го заседания Президиума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28-го заседания Президиума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ХLIV Конференции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 29-го заседания Президиума и ХLV Конференции Парламентской Ассоциации Северо-Запада России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организационных вопросах деятельности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2-е полугодие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ХLV Конференции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2-е полугодие 2013 года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Раздел III. Мероприятия по развитию международных связей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9"/>
        <w:gridCol w:w="4250"/>
        <w:gridCol w:w="1814"/>
        <w:gridCol w:w="6070"/>
        <w:gridCol w:w="2187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Вопрос, мероприятие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Инициатор внесения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Ответственный за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проведение, участники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и место проведения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Парламентский Форум Северного Измерения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Федеральное Собрание Российской Федерации, Председатель ПАСЗР.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март 2013, г. 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6-ая Конференция Парламентариев Баренцева региона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Стортинг (Парламент Норвегии), Председатель ПАСЗР, Парламенты - члены ПАСЗР, постоянный комитет ПАСЗР по межпарламентскому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г.Харстад (Норвегия),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22-24 апреля 2013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Парламентская программа Северного Совета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Президиум Северного Совета, Стортинг (Парламент Норвегии), Председатель ПАСЗР, парламенты - члены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22-26 апреля 2013 года, г.Харстад,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г.Осло (Норвегия)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V Форум молодых политиков Северо-Запада России и Северных стран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Собрание Республики Карелия, Председатель ПАСЗР, постоянный комитет ПАСЗР по межпарламентскому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24-26 апреля 2013 года,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г.Петрозаводск (Россия)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Заседание "круглого стола" Северного Совета и Федерального Собрания Российской Федерации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Федеральное Собрание Российской Федерации,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Государственный Совет Республики Коми, 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май 2013 года,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Сыктывкар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Ознакомительный визит делегации Северного Совета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Новгородская областная Дума 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28-31 мая 2013 года,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Новгородская область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Участие представителей Президиума Северного Совета в работе Конференций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ПАСЗР, 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июнь 2013,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Ленинградская область (Россия)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22-ая Парламентская Конференция Балтийского моря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Постоянный комитет Парламентской Конференции Балтийского моря, Парламент Эстонии, 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25-27 августа 2013 года,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Пярну (Эстония)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Участие в работе 65-ого пленарного заседания Северного Совета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Президиум Северного Совета,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28-31 октября 2013 года,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г.Осло (Норвегия)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1906" w:orient="landscape" w:w="16838"/>
      <w:pgMar w:top="851" w:right="1134" w:bottom="850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11</cp:revision>
  <dcterms:created xsi:type="dcterms:W3CDTF">2024-07-11T11:25:00Z</dcterms:created>
  <dcterms:modified xsi:type="dcterms:W3CDTF">2024-11-29T11:06:34Z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