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Приложение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к постановлению областного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от  9 декабря 2005 года  №  501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  <w:r>
        <w:rPr>
          <w:rFonts w:ascii="Open Sans" w:hAnsi="Open Sans" w:eastAsia="Open Sans" w:cs="Open Sans"/>
          <w:color w:val="020202"/>
          <w:sz w:val="24"/>
          <w:highlight w:val="white"/>
        </w:rPr>
      </w:r>
      <w:r/>
      <w:r>
        <w:rPr>
          <w:rFonts w:ascii="Open Sans" w:hAnsi="Open Sans" w:eastAsia="Open Sans" w:cs="Open Sans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Г Р А Ф И 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проведения очередных сессий Архангельского областного 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четвертого созыва на 2006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15"/>
        <w:gridCol w:w="7440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сессии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 очередной сессии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28 февраля – 2 марта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25 – 27 апреля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20 – 22 июня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Парламентские каникулы: июль – август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26 – 28 сентября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 – 16 ноября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 – 7 декабря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 – 15 декабря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2024-11-29T08:40:31Z</dcterms:modified>
</cp:coreProperties>
</file>