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 Архангельского областного Собрания депутатов пятого созыва на 2009 год</w:t>
        <w:br/>
        <w:br/>
        <w:t xml:space="preserve">(в редакции  постановление от 23.09.2009  № 237)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79"/>
        <w:gridCol w:w="7875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 – 16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 – 21 мая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 – 25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– 25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 – 22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 – 12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 – 3 декабря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8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9 - 10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